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41" w:rsidRPr="00A44D88" w:rsidRDefault="00865E41" w:rsidP="00865E41">
      <w:pPr>
        <w:jc w:val="both"/>
        <w:rPr>
          <w:rFonts w:ascii="Arial" w:hAnsi="Arial" w:cs="Arial"/>
          <w:b/>
        </w:rPr>
      </w:pPr>
      <w:r w:rsidRPr="00A44D88">
        <w:rPr>
          <w:rFonts w:ascii="Arial" w:hAnsi="Arial" w:cs="Arial"/>
          <w:b/>
        </w:rPr>
        <w:t>Zoznam odovzdanej Sprievodnej technickej dokumentácie a dokladov, ktoré pripraví zhotoviteľ k odovzdaniu a prevzatiu dokončenej stavby alebo časti stavby.</w:t>
      </w:r>
    </w:p>
    <w:p w:rsidR="00865E41" w:rsidRPr="00FD3352" w:rsidRDefault="00D87D6F" w:rsidP="00865E4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5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"/>
        </w:pic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Podrobný súpis odovzdanej dokumentácie vo všetkých profesiách</w:t>
      </w:r>
      <w:r>
        <w:rPr>
          <w:rFonts w:ascii="Arial" w:hAnsi="Arial" w:cs="Arial"/>
          <w:sz w:val="20"/>
          <w:szCs w:val="20"/>
        </w:rPr>
        <w:t>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Výkresy so zakreslenými zmenami a odchýlkami, ku ktorým došlo počas realizácie stavby, potvrdené zhotoviteľom.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Zoznam strojov a zariadení, ktoré sú súčasťou odovzdávanej stavby alebo časti stavby a pre všetky stroje a zariadenia osvedčenia o akosti a kompletnosti, atesty platné na území SR a návody na montáž, údržbu a obsluhu.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Osvedčenia o kvalite použitých materiálov a konštrukcií.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Doklad o preukázaní zhody výrobkov pre stavbu (zákon č. 90/1998 Z. z. v znení neskorších zmien a doplnkov, úplné znenie bolo vyhlásené zákonom č.314/2004 Z. z. a vyhláška č. 158/2004 Z. z.).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Zápisnice, osvedčenia a protokoly o vykonaných skúškach použitých materiálov.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Protokoly o vyskúšaní zmontovaných pracovných a zariadení.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Certifikát  bezpečnosti montáže technického zariadenia vydaný OPO podľa NV 392/2006 Z.z.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Doklady o vykonaní úradných skúškach vyhradených technických zariadení (§12 vyhlášky č.</w:t>
      </w:r>
      <w:r>
        <w:rPr>
          <w:rFonts w:ascii="Arial" w:hAnsi="Arial" w:cs="Arial"/>
          <w:sz w:val="20"/>
          <w:szCs w:val="20"/>
        </w:rPr>
        <w:t> </w:t>
      </w:r>
      <w:r w:rsidRPr="00234AEF">
        <w:rPr>
          <w:rFonts w:ascii="Arial" w:hAnsi="Arial" w:cs="Arial"/>
          <w:sz w:val="20"/>
          <w:szCs w:val="20"/>
        </w:rPr>
        <w:t>508/2009</w:t>
      </w:r>
      <w:r>
        <w:rPr>
          <w:rFonts w:ascii="Arial" w:hAnsi="Arial" w:cs="Arial"/>
          <w:sz w:val="20"/>
          <w:szCs w:val="20"/>
        </w:rPr>
        <w:t> </w:t>
      </w:r>
      <w:r w:rsidRPr="00234AEF">
        <w:rPr>
          <w:rFonts w:ascii="Arial" w:hAnsi="Arial" w:cs="Arial"/>
          <w:sz w:val="20"/>
          <w:szCs w:val="20"/>
        </w:rPr>
        <w:t>Z.z.).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Správy o vykonaní odborných prehliadok a odborných skúšok (bývalé revízne správy, §13 vyhlášky č.</w:t>
      </w:r>
      <w:r>
        <w:rPr>
          <w:rFonts w:ascii="Arial" w:hAnsi="Arial" w:cs="Arial"/>
          <w:sz w:val="20"/>
          <w:szCs w:val="20"/>
        </w:rPr>
        <w:t> </w:t>
      </w:r>
      <w:r w:rsidRPr="00234AEF">
        <w:rPr>
          <w:rFonts w:ascii="Arial" w:hAnsi="Arial" w:cs="Arial"/>
          <w:sz w:val="20"/>
          <w:szCs w:val="20"/>
        </w:rPr>
        <w:t>508/2009 Z.z.).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Pasporty, revízne knihy alebo iné dokumenty vyhradených technických zariadení.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Atesty o požiarnej odolnosti použitých materiálov, výrobkov a konštrukcií podľa ich umiestnenia v stavbe.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 o skúškach elektrickej požiarnej signalizácie.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Doklad o preskúšaní komínov.</w:t>
      </w:r>
    </w:p>
    <w:p w:rsidR="00D87D6F" w:rsidRPr="00D87D6F" w:rsidRDefault="00865E41" w:rsidP="00D87D6F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D87D6F">
        <w:rPr>
          <w:rFonts w:ascii="Arial" w:hAnsi="Arial" w:cs="Arial"/>
          <w:sz w:val="20"/>
          <w:szCs w:val="20"/>
        </w:rPr>
        <w:t>Doklad o rozbore pitnej vody.</w:t>
      </w:r>
    </w:p>
    <w:p w:rsidR="00D87D6F" w:rsidRPr="00D87D6F" w:rsidRDefault="00D87D6F" w:rsidP="00D87D6F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D87D6F">
        <w:rPr>
          <w:rFonts w:ascii="Arial" w:hAnsi="Arial" w:cs="Arial"/>
          <w:sz w:val="20"/>
          <w:szCs w:val="20"/>
        </w:rPr>
        <w:t>Dodať protokol</w:t>
      </w:r>
      <w:r>
        <w:rPr>
          <w:rFonts w:ascii="Arial" w:hAnsi="Arial" w:cs="Arial"/>
          <w:sz w:val="20"/>
          <w:szCs w:val="20"/>
        </w:rPr>
        <w:t xml:space="preserve">y </w:t>
      </w:r>
      <w:r w:rsidRPr="00D87D6F">
        <w:rPr>
          <w:rFonts w:ascii="Arial" w:hAnsi="Arial" w:cs="Arial"/>
          <w:sz w:val="20"/>
          <w:szCs w:val="20"/>
        </w:rPr>
        <w:t>zo skúšok tesnosti nádrží a záchytných vaní  (v zmysle zákona č. 364/2004 Z.z. (vodný zákon) a vyhlášky č. 200/2018 Z.z.)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Manipulačné poriadky odlučovačov ropných látok a odlučovačov tuku.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Doklad o posúdení prevádzky zdrojov znečistenia ovzdušia.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Protokoly o meraní intenzity denného a umelého osvetlenia.</w:t>
      </w:r>
      <w:bookmarkStart w:id="0" w:name="_GoBack"/>
      <w:bookmarkEnd w:id="0"/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Protokoly o meraní hladiny hluku v priestoroch stavby.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 o meraní hladiny hluku vo vonkajšom prostredí vplyvom prevádzky stavby.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Protokoly o výsledkoch tlakových skúšok pevnosti potrubí.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Protokoly o výsledkoch tlakových skúšok tesnosti potrubí.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 o výsledkoch tesnostnej skúšky kanalizácie.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Protokol o výsledkoch vykurovacej skúšky.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Doklady o vykonaní skúšok hydrantov.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Doklad o zaškolení obsluhy budúceho prevádzkovateľa.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>Stavebné denníky (originály).</w:t>
      </w:r>
    </w:p>
    <w:p w:rsidR="00865E41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34AEF">
        <w:rPr>
          <w:rFonts w:ascii="Arial" w:hAnsi="Arial" w:cs="Arial"/>
          <w:sz w:val="20"/>
          <w:szCs w:val="20"/>
        </w:rPr>
        <w:t xml:space="preserve">Geodetickú dokumentáciu – geometrické zameranie dotknutých objektov </w:t>
      </w:r>
      <w:r>
        <w:rPr>
          <w:rFonts w:ascii="Arial" w:hAnsi="Arial" w:cs="Arial"/>
          <w:sz w:val="20"/>
          <w:szCs w:val="20"/>
        </w:rPr>
        <w:t xml:space="preserve">a sietí </w:t>
      </w:r>
      <w:r w:rsidRPr="00234AEF">
        <w:rPr>
          <w:rFonts w:ascii="Arial" w:hAnsi="Arial" w:cs="Arial"/>
          <w:sz w:val="20"/>
          <w:szCs w:val="20"/>
        </w:rPr>
        <w:t>i pod zemou + vytýčenie priestorovej polohy stavby pred jej začatím</w:t>
      </w:r>
      <w:r>
        <w:rPr>
          <w:rFonts w:ascii="Arial" w:hAnsi="Arial" w:cs="Arial"/>
          <w:sz w:val="20"/>
          <w:szCs w:val="20"/>
        </w:rPr>
        <w:t xml:space="preserve"> + porealizačné zameranie stavby.</w:t>
      </w:r>
    </w:p>
    <w:p w:rsidR="00865E41" w:rsidRPr="00234AEF" w:rsidRDefault="00865E4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Geometrický plán stavby.</w:t>
      </w:r>
    </w:p>
    <w:p w:rsidR="00865E41" w:rsidRPr="00865E41" w:rsidRDefault="009B4421" w:rsidP="00865E41">
      <w:pPr>
        <w:numPr>
          <w:ilvl w:val="0"/>
          <w:numId w:val="26"/>
        </w:numPr>
        <w:tabs>
          <w:tab w:val="left" w:pos="397"/>
        </w:tabs>
        <w:suppressAutoHyphens/>
        <w:spacing w:before="100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Mesačnú e</w:t>
      </w:r>
      <w:r w:rsidR="00865E41" w:rsidRPr="00234AEF">
        <w:rPr>
          <w:rFonts w:ascii="Arial" w:hAnsi="Arial" w:cs="Arial"/>
          <w:sz w:val="20"/>
          <w:szCs w:val="20"/>
        </w:rPr>
        <w:t>videnciu druhov, množstvo vzniknutých odpadov, spôsob zneškodnenia, zhodnotenia a recyklácie odpadov a miesta kam boli odovzdané (firma, skládka, spaľovňa ap.) – potvrdenie týchto firiem, správcov skládok, spaľovní ap. – s uvedenou adresou a IČO.</w:t>
      </w:r>
    </w:p>
    <w:sectPr w:rsidR="00865E41" w:rsidRPr="00865E41" w:rsidSect="009D1C0E">
      <w:headerReference w:type="default" r:id="rId7"/>
      <w:footerReference w:type="even" r:id="rId8"/>
      <w:footerReference w:type="default" r:id="rId9"/>
      <w:pgSz w:w="11906" w:h="16838" w:code="9"/>
      <w:pgMar w:top="1701" w:right="924" w:bottom="1134" w:left="1077" w:header="709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99" w:rsidRDefault="00BD6699">
      <w:r>
        <w:separator/>
      </w:r>
    </w:p>
  </w:endnote>
  <w:endnote w:type="continuationSeparator" w:id="0">
    <w:p w:rsidR="00BD6699" w:rsidRDefault="00BD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982" w:rsidRDefault="00E459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45982" w:rsidRDefault="00E4598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8E" w:rsidRPr="00A43FC5" w:rsidRDefault="00802E8E" w:rsidP="00802E8E">
    <w:pPr>
      <w:pStyle w:val="Pta"/>
      <w:framePr w:wrap="around" w:vAnchor="text" w:hAnchor="page" w:x="10816" w:y="548"/>
      <w:rPr>
        <w:rStyle w:val="slostrany"/>
        <w:sz w:val="16"/>
        <w:szCs w:val="16"/>
      </w:rPr>
    </w:pPr>
  </w:p>
  <w:p w:rsidR="00E45982" w:rsidRDefault="00D87D6F">
    <w:pPr>
      <w:pStyle w:val="Pt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8.25pt;margin-top:4.25pt;width:390pt;height:48pt;z-index:251657728;visibility:visible;mso-width-relative:margin;mso-height-relative:margin" stroked="f">
          <v:textbox style="mso-next-textbox:#_x0000_s2053">
            <w:txbxContent>
              <w:p w:rsidR="00831549" w:rsidRDefault="00831549" w:rsidP="00831549">
                <w:pPr>
                  <w:pStyle w:val="Pta"/>
                  <w:rPr>
                    <w:rFonts w:ascii="Arial" w:hAnsi="Arial" w:cs="Arial"/>
                    <w:color w:val="044888"/>
                    <w:sz w:val="14"/>
                    <w:szCs w:val="14"/>
                  </w:rPr>
                </w:pPr>
                <w:r w:rsidRPr="003D50CE">
                  <w:rPr>
                    <w:rFonts w:ascii="Arial" w:hAnsi="Arial" w:cs="Arial"/>
                    <w:color w:val="044888"/>
                    <w:sz w:val="14"/>
                    <w:szCs w:val="14"/>
                  </w:rPr>
                  <w:t xml:space="preserve">Administratívna budova, </w:t>
                </w:r>
                <w:r>
                  <w:rPr>
                    <w:rFonts w:ascii="Arial" w:hAnsi="Arial" w:cs="Arial"/>
                    <w:color w:val="044888"/>
                    <w:sz w:val="14"/>
                    <w:szCs w:val="14"/>
                  </w:rPr>
                  <w:t xml:space="preserve">       T: +421 31 775 1111             č.ú.:  207132/0200</w:t>
                </w:r>
              </w:p>
              <w:p w:rsidR="00831549" w:rsidRDefault="00831549" w:rsidP="00831549">
                <w:pPr>
                  <w:pStyle w:val="Pta"/>
                  <w:rPr>
                    <w:rFonts w:ascii="Arial" w:hAnsi="Arial" w:cs="Arial"/>
                    <w:color w:val="044888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44888"/>
                    <w:sz w:val="14"/>
                    <w:szCs w:val="14"/>
                  </w:rPr>
                  <w:t>ev.č. 1236                              F: +421 31 775 3040             IČO: 35 826 487</w:t>
                </w:r>
              </w:p>
              <w:p w:rsidR="00831549" w:rsidRDefault="00831549" w:rsidP="00831549">
                <w:pPr>
                  <w:pStyle w:val="Pta"/>
                  <w:rPr>
                    <w:rFonts w:ascii="Arial" w:hAnsi="Arial" w:cs="Arial"/>
                    <w:color w:val="044888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44888"/>
                    <w:sz w:val="14"/>
                    <w:szCs w:val="14"/>
                  </w:rPr>
                  <w:t xml:space="preserve">927 03 Šaľa                           E: </w:t>
                </w:r>
                <w:hyperlink r:id="rId1" w:history="1">
                  <w:r w:rsidRPr="00D23147">
                    <w:rPr>
                      <w:rStyle w:val="Hypertextovprepojenie"/>
                      <w:rFonts w:ascii="Arial" w:hAnsi="Arial" w:cs="Arial"/>
                      <w:sz w:val="14"/>
                      <w:szCs w:val="14"/>
                    </w:rPr>
                    <w:t>duslo@duslo.sk</w:t>
                  </w:r>
                </w:hyperlink>
                <w:r>
                  <w:rPr>
                    <w:rFonts w:ascii="Arial" w:hAnsi="Arial" w:cs="Arial"/>
                    <w:color w:val="044888"/>
                    <w:sz w:val="14"/>
                    <w:szCs w:val="14"/>
                  </w:rPr>
                  <w:t xml:space="preserve">                 DIČ: 2021607984</w:t>
                </w:r>
              </w:p>
              <w:p w:rsidR="00831549" w:rsidRPr="003D50CE" w:rsidRDefault="00831549" w:rsidP="00831549">
                <w:pPr>
                  <w:pStyle w:val="Pta"/>
                  <w:tabs>
                    <w:tab w:val="clear" w:pos="9072"/>
                    <w:tab w:val="right" w:pos="9106"/>
                  </w:tabs>
                  <w:ind w:right="-1667"/>
                  <w:rPr>
                    <w:rFonts w:ascii="Arial" w:hAnsi="Arial" w:cs="Arial"/>
                    <w:color w:val="044888"/>
                    <w:sz w:val="14"/>
                    <w:szCs w:val="14"/>
                  </w:rPr>
                </w:pPr>
                <w:r w:rsidRPr="003D50CE">
                  <w:rPr>
                    <w:rFonts w:ascii="Arial" w:hAnsi="Arial" w:cs="Arial"/>
                    <w:color w:val="044888"/>
                    <w:sz w:val="14"/>
                    <w:szCs w:val="14"/>
                  </w:rPr>
                  <w:t>Slovenská republika</w:t>
                </w:r>
                <w:r>
                  <w:rPr>
                    <w:rFonts w:ascii="Arial" w:hAnsi="Arial" w:cs="Arial"/>
                    <w:color w:val="044888"/>
                    <w:sz w:val="14"/>
                    <w:szCs w:val="14"/>
                  </w:rPr>
                  <w:t xml:space="preserve">              </w:t>
                </w:r>
                <w:hyperlink r:id="rId2" w:history="1">
                  <w:r w:rsidRPr="00D23147">
                    <w:rPr>
                      <w:rStyle w:val="Hypertextovprepojenie"/>
                      <w:rFonts w:ascii="Arial" w:hAnsi="Arial" w:cs="Arial"/>
                      <w:sz w:val="14"/>
                      <w:szCs w:val="14"/>
                    </w:rPr>
                    <w:t>http://www.duslo.sk</w:t>
                  </w:r>
                </w:hyperlink>
                <w:r>
                  <w:rPr>
                    <w:rFonts w:ascii="Arial" w:hAnsi="Arial" w:cs="Arial"/>
                    <w:color w:val="044888"/>
                    <w:sz w:val="14"/>
                    <w:szCs w:val="14"/>
                  </w:rPr>
                  <w:t xml:space="preserve">                IBAN/SWIFT: SK92 0200 0000 0000 0020 7132/SUBASKBX</w:t>
                </w:r>
              </w:p>
              <w:p w:rsidR="00831549" w:rsidRDefault="00831549" w:rsidP="00831549"/>
            </w:txbxContent>
          </v:textbox>
        </v:shape>
      </w:pict>
    </w:r>
    <w:r>
      <w:rPr>
        <w:noProof/>
      </w:rPr>
      <w:pict>
        <v:shape id="_x0000_s2055" type="#_x0000_t202" style="position:absolute;margin-left:387.75pt;margin-top:-1.15pt;width:125.4pt;height:45.45pt;z-index:251658752;visibility:visible;mso-width-relative:margin;mso-height-relative:margin" stroked="f" strokecolor="#548dd4">
          <v:textbox style="mso-next-textbox:#_x0000_s2055;mso-fit-shape-to-text:t">
            <w:txbxContent>
              <w:p w:rsidR="00D6443F" w:rsidRDefault="00D87D6F" w:rsidP="00D6443F">
                <w:r>
                  <w:rPr>
                    <w:rFonts w:ascii="Arial" w:hAnsi="Arial" w:cs="Arial"/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30.6pt;height:32.4pt">
                      <v:imagedata r:id="rId3" o:title=""/>
                    </v:shape>
                  </w:pict>
                </w:r>
                <w:r w:rsidR="00D6443F"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pict>
                    <v:shape id="_x0000_i1029" type="#_x0000_t75" style="width:27.6pt;height:38.4pt">
                      <v:imagedata r:id="rId4" o:title=""/>
                    </v:shape>
                  </w:pic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99" w:rsidRDefault="00BD6699">
      <w:r>
        <w:separator/>
      </w:r>
    </w:p>
  </w:footnote>
  <w:footnote w:type="continuationSeparator" w:id="0">
    <w:p w:rsidR="00BD6699" w:rsidRDefault="00BD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C4" w:rsidRDefault="00D87D6F" w:rsidP="009D1C0E">
    <w:pPr>
      <w:pStyle w:val="Hlavika"/>
      <w:tabs>
        <w:tab w:val="clear" w:pos="9072"/>
        <w:tab w:val="right" w:pos="9498"/>
      </w:tabs>
      <w:ind w:left="-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style="position:absolute;left:0;text-align:left;margin-left:398.55pt;margin-top:.65pt;width:96.6pt;height:19.7pt;z-index:251656704;visibility:visible;mso-width-relative:margin;mso-height-relative:margin" stroked="f">
          <v:textbox style="mso-next-textbox:#Blok textu 2">
            <w:txbxContent>
              <w:p w:rsidR="008811A4" w:rsidRPr="00700B62" w:rsidRDefault="008811A4" w:rsidP="008811A4">
                <w:pPr>
                  <w:rPr>
                    <w:rFonts w:ascii="Myriad Pro" w:hAnsi="Myriad Pro"/>
                    <w:b/>
                    <w:color w:val="365F91"/>
                    <w:sz w:val="22"/>
                    <w:szCs w:val="22"/>
                  </w:rPr>
                </w:pPr>
                <w:r w:rsidRPr="00700B62">
                  <w:rPr>
                    <w:rFonts w:ascii="Myriad Pro" w:hAnsi="Myriad Pro"/>
                    <w:b/>
                    <w:color w:val="365F91"/>
                    <w:sz w:val="22"/>
                    <w:szCs w:val="22"/>
                  </w:rPr>
                  <w:t>www.duslo.sk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1025" type="#_x0000_t75" style="width:132pt;height:58.2pt;visibility:visible">
          <v:imagedata r:id="rId1" o:title=""/>
        </v:shape>
      </w:pict>
    </w:r>
    <w:r w:rsidR="008811A4">
      <w:rPr>
        <w:rFonts w:ascii="Arial" w:hAnsi="Arial" w:cs="Arial"/>
        <w:noProof/>
        <w:sz w:val="20"/>
        <w:szCs w:val="20"/>
      </w:rPr>
      <w:t xml:space="preserve">                                  </w:t>
    </w:r>
    <w:r w:rsidR="000F48DA">
      <w:rPr>
        <w:rFonts w:ascii="Arial" w:hAnsi="Arial" w:cs="Arial"/>
        <w:noProof/>
        <w:sz w:val="20"/>
        <w:szCs w:val="20"/>
      </w:rPr>
      <w:tab/>
    </w:r>
    <w:r w:rsidR="000F48DA">
      <w:rPr>
        <w:rFonts w:ascii="Arial" w:hAnsi="Arial" w:cs="Arial"/>
        <w:noProof/>
        <w:sz w:val="20"/>
        <w:szCs w:val="20"/>
      </w:rPr>
      <w:tab/>
      <w:t xml:space="preserve"> </w:t>
    </w:r>
    <w:r w:rsidR="00EB1853" w:rsidRPr="00EB1853">
      <w:rPr>
        <w:rFonts w:ascii="Arial" w:hAnsi="Arial" w:cs="Arial"/>
        <w:b/>
        <w:noProof/>
        <w:sz w:val="20"/>
        <w:szCs w:val="20"/>
      </w:rPr>
      <w:fldChar w:fldCharType="begin"/>
    </w:r>
    <w:r w:rsidR="00EB1853" w:rsidRPr="00EB1853">
      <w:rPr>
        <w:rFonts w:ascii="Arial" w:hAnsi="Arial" w:cs="Arial"/>
        <w:b/>
        <w:noProof/>
        <w:sz w:val="20"/>
        <w:szCs w:val="20"/>
      </w:rPr>
      <w:instrText>PAGE  \* Arabic  \* MERGEFORMAT</w:instrText>
    </w:r>
    <w:r w:rsidR="00EB1853" w:rsidRPr="00EB1853">
      <w:rPr>
        <w:rFonts w:ascii="Arial" w:hAnsi="Arial" w:cs="Arial"/>
        <w:b/>
        <w:noProof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EB1853" w:rsidRPr="00EB1853">
      <w:rPr>
        <w:rFonts w:ascii="Arial" w:hAnsi="Arial" w:cs="Arial"/>
        <w:b/>
        <w:noProof/>
        <w:sz w:val="20"/>
        <w:szCs w:val="20"/>
      </w:rPr>
      <w:fldChar w:fldCharType="end"/>
    </w:r>
    <w:r w:rsidR="00EB1853" w:rsidRPr="00EB1853">
      <w:rPr>
        <w:rFonts w:ascii="Arial" w:hAnsi="Arial" w:cs="Arial"/>
        <w:noProof/>
        <w:sz w:val="20"/>
        <w:szCs w:val="20"/>
      </w:rPr>
      <w:t xml:space="preserve"> z </w:t>
    </w:r>
    <w:r w:rsidR="00EB1853" w:rsidRPr="00EB1853">
      <w:rPr>
        <w:rFonts w:ascii="Arial" w:hAnsi="Arial" w:cs="Arial"/>
        <w:b/>
        <w:noProof/>
        <w:sz w:val="20"/>
        <w:szCs w:val="20"/>
      </w:rPr>
      <w:fldChar w:fldCharType="begin"/>
    </w:r>
    <w:r w:rsidR="00EB1853" w:rsidRPr="00EB1853">
      <w:rPr>
        <w:rFonts w:ascii="Arial" w:hAnsi="Arial" w:cs="Arial"/>
        <w:b/>
        <w:noProof/>
        <w:sz w:val="20"/>
        <w:szCs w:val="20"/>
      </w:rPr>
      <w:instrText>NUMPAGES  \* Arabic  \* MERGEFORMAT</w:instrText>
    </w:r>
    <w:r w:rsidR="00EB1853" w:rsidRPr="00EB1853">
      <w:rPr>
        <w:rFonts w:ascii="Arial" w:hAnsi="Arial" w:cs="Arial"/>
        <w:b/>
        <w:noProof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2</w:t>
    </w:r>
    <w:r w:rsidR="00EB1853" w:rsidRPr="00EB1853">
      <w:rPr>
        <w:rFonts w:ascii="Arial" w:hAnsi="Arial" w:cs="Arial"/>
        <w:b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2513"/>
    <w:multiLevelType w:val="hybridMultilevel"/>
    <w:tmpl w:val="BC1AB68E"/>
    <w:lvl w:ilvl="0" w:tplc="D152ECD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E17A59"/>
    <w:multiLevelType w:val="hybridMultilevel"/>
    <w:tmpl w:val="0B540E78"/>
    <w:lvl w:ilvl="0" w:tplc="56A21A0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245F"/>
    <w:multiLevelType w:val="multilevel"/>
    <w:tmpl w:val="704686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4826AB"/>
    <w:multiLevelType w:val="multilevel"/>
    <w:tmpl w:val="136ED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524438"/>
    <w:multiLevelType w:val="hybridMultilevel"/>
    <w:tmpl w:val="980C9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BC9"/>
    <w:multiLevelType w:val="multilevel"/>
    <w:tmpl w:val="F3802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3F0ECC"/>
    <w:multiLevelType w:val="hybridMultilevel"/>
    <w:tmpl w:val="749E34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01672"/>
    <w:multiLevelType w:val="hybridMultilevel"/>
    <w:tmpl w:val="98B4B1C2"/>
    <w:lvl w:ilvl="0" w:tplc="FFFFFFFF">
      <w:start w:val="1"/>
      <w:numFmt w:val="bullet"/>
      <w:lvlText w:val=""/>
      <w:legacy w:legacy="1" w:legacySpace="0" w:legacyIndent="283"/>
      <w:lvlJc w:val="left"/>
      <w:pPr>
        <w:ind w:left="343" w:hanging="283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4318D"/>
    <w:multiLevelType w:val="hybridMultilevel"/>
    <w:tmpl w:val="2FECC800"/>
    <w:lvl w:ilvl="0" w:tplc="21DC40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21F93"/>
    <w:multiLevelType w:val="multilevel"/>
    <w:tmpl w:val="0A7A3D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772D93"/>
    <w:multiLevelType w:val="hybridMultilevel"/>
    <w:tmpl w:val="5A44545E"/>
    <w:lvl w:ilvl="0" w:tplc="6580778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B5E15"/>
    <w:multiLevelType w:val="hybridMultilevel"/>
    <w:tmpl w:val="4C907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D5A71"/>
    <w:multiLevelType w:val="hybridMultilevel"/>
    <w:tmpl w:val="D89A0EB6"/>
    <w:lvl w:ilvl="0" w:tplc="041B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E6B166F"/>
    <w:multiLevelType w:val="multilevel"/>
    <w:tmpl w:val="1276B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E312D3"/>
    <w:multiLevelType w:val="hybridMultilevel"/>
    <w:tmpl w:val="122C9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B2E5C"/>
    <w:multiLevelType w:val="hybridMultilevel"/>
    <w:tmpl w:val="3424D7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771300"/>
    <w:multiLevelType w:val="hybridMultilevel"/>
    <w:tmpl w:val="122C9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900976"/>
    <w:multiLevelType w:val="hybridMultilevel"/>
    <w:tmpl w:val="0C1E5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85E5B"/>
    <w:multiLevelType w:val="hybridMultilevel"/>
    <w:tmpl w:val="EDE89F1E"/>
    <w:lvl w:ilvl="0" w:tplc="BA2E1F6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1F52D1C"/>
    <w:multiLevelType w:val="multilevel"/>
    <w:tmpl w:val="46D836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66AE7130"/>
    <w:multiLevelType w:val="hybridMultilevel"/>
    <w:tmpl w:val="3A10CF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577F7"/>
    <w:multiLevelType w:val="hybridMultilevel"/>
    <w:tmpl w:val="DF44E2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86446"/>
    <w:multiLevelType w:val="hybridMultilevel"/>
    <w:tmpl w:val="4E74179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B333C5"/>
    <w:multiLevelType w:val="multilevel"/>
    <w:tmpl w:val="D9A65A76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77E01911"/>
    <w:multiLevelType w:val="multilevel"/>
    <w:tmpl w:val="9DD22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"/>
      <w:lvlJc w:val="left"/>
      <w:pPr>
        <w:ind w:left="1440" w:hanging="1440"/>
      </w:pPr>
      <w:rPr>
        <w:rFonts w:ascii="Wingdings" w:hAnsi="Wingding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F607DC"/>
    <w:multiLevelType w:val="hybridMultilevel"/>
    <w:tmpl w:val="82CE91F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1"/>
  </w:num>
  <w:num w:numId="10">
    <w:abstractNumId w:val="22"/>
  </w:num>
  <w:num w:numId="11">
    <w:abstractNumId w:val="25"/>
  </w:num>
  <w:num w:numId="12">
    <w:abstractNumId w:val="2"/>
  </w:num>
  <w:num w:numId="13">
    <w:abstractNumId w:val="15"/>
  </w:num>
  <w:num w:numId="14">
    <w:abstractNumId w:val="17"/>
  </w:num>
  <w:num w:numId="15">
    <w:abstractNumId w:val="0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</w:num>
  <w:num w:numId="19">
    <w:abstractNumId w:val="24"/>
  </w:num>
  <w:num w:numId="20">
    <w:abstractNumId w:val="3"/>
  </w:num>
  <w:num w:numId="21">
    <w:abstractNumId w:val="13"/>
  </w:num>
  <w:num w:numId="22">
    <w:abstractNumId w:val="19"/>
  </w:num>
  <w:num w:numId="23">
    <w:abstractNumId w:val="23"/>
  </w:num>
  <w:num w:numId="24">
    <w:abstractNumId w:val="18"/>
  </w:num>
  <w:num w:numId="25">
    <w:abstractNumId w:val="16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D0C"/>
    <w:rsid w:val="00001214"/>
    <w:rsid w:val="00036D6A"/>
    <w:rsid w:val="00037BD7"/>
    <w:rsid w:val="000419E3"/>
    <w:rsid w:val="00045C9E"/>
    <w:rsid w:val="00091AEE"/>
    <w:rsid w:val="000A214E"/>
    <w:rsid w:val="000E223D"/>
    <w:rsid w:val="000F48DA"/>
    <w:rsid w:val="00113906"/>
    <w:rsid w:val="00143D56"/>
    <w:rsid w:val="00157D74"/>
    <w:rsid w:val="001607B1"/>
    <w:rsid w:val="00167AAB"/>
    <w:rsid w:val="00183471"/>
    <w:rsid w:val="00187412"/>
    <w:rsid w:val="001D326A"/>
    <w:rsid w:val="001F4620"/>
    <w:rsid w:val="00260AFA"/>
    <w:rsid w:val="00265D7E"/>
    <w:rsid w:val="00282592"/>
    <w:rsid w:val="00286295"/>
    <w:rsid w:val="002C350E"/>
    <w:rsid w:val="002F784D"/>
    <w:rsid w:val="0030330D"/>
    <w:rsid w:val="00312FC4"/>
    <w:rsid w:val="00323739"/>
    <w:rsid w:val="00334EFE"/>
    <w:rsid w:val="00353F70"/>
    <w:rsid w:val="003571D1"/>
    <w:rsid w:val="00382896"/>
    <w:rsid w:val="00383D0C"/>
    <w:rsid w:val="00391783"/>
    <w:rsid w:val="00393D60"/>
    <w:rsid w:val="003B1663"/>
    <w:rsid w:val="003C5257"/>
    <w:rsid w:val="003C6324"/>
    <w:rsid w:val="00432753"/>
    <w:rsid w:val="00476741"/>
    <w:rsid w:val="00490337"/>
    <w:rsid w:val="004D4D04"/>
    <w:rsid w:val="004D5E38"/>
    <w:rsid w:val="004F1A89"/>
    <w:rsid w:val="004F6606"/>
    <w:rsid w:val="00541279"/>
    <w:rsid w:val="00552997"/>
    <w:rsid w:val="005D48EF"/>
    <w:rsid w:val="00610CB9"/>
    <w:rsid w:val="006163D9"/>
    <w:rsid w:val="006171DF"/>
    <w:rsid w:val="00617F65"/>
    <w:rsid w:val="00641465"/>
    <w:rsid w:val="00662C03"/>
    <w:rsid w:val="00682767"/>
    <w:rsid w:val="00694156"/>
    <w:rsid w:val="006A3576"/>
    <w:rsid w:val="006B3543"/>
    <w:rsid w:val="006C0F70"/>
    <w:rsid w:val="00700A77"/>
    <w:rsid w:val="0073084A"/>
    <w:rsid w:val="0073264C"/>
    <w:rsid w:val="00760825"/>
    <w:rsid w:val="00764875"/>
    <w:rsid w:val="007777B3"/>
    <w:rsid w:val="007D50DF"/>
    <w:rsid w:val="00802E8E"/>
    <w:rsid w:val="00813B71"/>
    <w:rsid w:val="00831549"/>
    <w:rsid w:val="00836154"/>
    <w:rsid w:val="00865E41"/>
    <w:rsid w:val="008811A4"/>
    <w:rsid w:val="008C5992"/>
    <w:rsid w:val="008E1F53"/>
    <w:rsid w:val="009A4352"/>
    <w:rsid w:val="009B4421"/>
    <w:rsid w:val="009C0F8D"/>
    <w:rsid w:val="009D1C0E"/>
    <w:rsid w:val="009D43F8"/>
    <w:rsid w:val="009E67BB"/>
    <w:rsid w:val="00A43FC5"/>
    <w:rsid w:val="00A93111"/>
    <w:rsid w:val="00AA007F"/>
    <w:rsid w:val="00AA6436"/>
    <w:rsid w:val="00AB3EB5"/>
    <w:rsid w:val="00AC1EE2"/>
    <w:rsid w:val="00AD434F"/>
    <w:rsid w:val="00AD69E5"/>
    <w:rsid w:val="00AE40CA"/>
    <w:rsid w:val="00AE5AB3"/>
    <w:rsid w:val="00B2549B"/>
    <w:rsid w:val="00B31AAD"/>
    <w:rsid w:val="00B45C7E"/>
    <w:rsid w:val="00B66A8E"/>
    <w:rsid w:val="00B708D2"/>
    <w:rsid w:val="00B8176F"/>
    <w:rsid w:val="00B97FFA"/>
    <w:rsid w:val="00BD6699"/>
    <w:rsid w:val="00BD6F8B"/>
    <w:rsid w:val="00C00EB0"/>
    <w:rsid w:val="00C01EB9"/>
    <w:rsid w:val="00C16CDD"/>
    <w:rsid w:val="00C86DAE"/>
    <w:rsid w:val="00CA24BB"/>
    <w:rsid w:val="00CA3F6E"/>
    <w:rsid w:val="00D15D00"/>
    <w:rsid w:val="00D325B5"/>
    <w:rsid w:val="00D60571"/>
    <w:rsid w:val="00D6443F"/>
    <w:rsid w:val="00D666B2"/>
    <w:rsid w:val="00D87D6F"/>
    <w:rsid w:val="00DC4A4A"/>
    <w:rsid w:val="00DD2FE9"/>
    <w:rsid w:val="00DE7BE6"/>
    <w:rsid w:val="00DF0824"/>
    <w:rsid w:val="00DF1C33"/>
    <w:rsid w:val="00E1173D"/>
    <w:rsid w:val="00E43ECA"/>
    <w:rsid w:val="00E45982"/>
    <w:rsid w:val="00E53E57"/>
    <w:rsid w:val="00E61778"/>
    <w:rsid w:val="00E6473F"/>
    <w:rsid w:val="00EB1853"/>
    <w:rsid w:val="00EF0FF4"/>
    <w:rsid w:val="00F00C16"/>
    <w:rsid w:val="00F10AAD"/>
    <w:rsid w:val="00F57878"/>
    <w:rsid w:val="00FA1026"/>
    <w:rsid w:val="00FB5515"/>
    <w:rsid w:val="00FB7407"/>
    <w:rsid w:val="00FC278D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BD8C1068-55A7-43E2-BBC2-201BB548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828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pPr>
      <w:jc w:val="both"/>
    </w:pPr>
    <w:rPr>
      <w:bCs/>
      <w:sz w:val="22"/>
      <w:lang w:eastAsia="cs-CZ"/>
    </w:rPr>
  </w:style>
  <w:style w:type="character" w:customStyle="1" w:styleId="ZkladntextChar">
    <w:name w:val="Základný text Char"/>
    <w:link w:val="Zkladntext"/>
    <w:rPr>
      <w:bCs/>
      <w:sz w:val="22"/>
      <w:szCs w:val="24"/>
      <w:lang w:val="sk-SK" w:eastAsia="cs-CZ" w:bidi="ar-SA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y"/>
    <w:link w:val="Zkladntext2Char"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ý text 2 Char"/>
    <w:link w:val="Zkladntext2"/>
    <w:rPr>
      <w:rFonts w:ascii="Calibri" w:eastAsia="Calibri" w:hAnsi="Calibri"/>
      <w:sz w:val="22"/>
      <w:szCs w:val="22"/>
      <w:lang w:val="sk-SK" w:eastAsia="en-US" w:bidi="ar-SA"/>
    </w:rPr>
  </w:style>
  <w:style w:type="character" w:customStyle="1" w:styleId="Nadpis1Char">
    <w:name w:val="Nadpis 1 Char"/>
    <w:link w:val="Nadpis1"/>
    <w:rPr>
      <w:rFonts w:ascii="Arial" w:hAnsi="Arial" w:cs="Arial"/>
      <w:b/>
      <w:bCs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semiHidden/>
    <w:unhideWhenUsed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3Char">
    <w:name w:val="Základný text 3 Char"/>
    <w:link w:val="Zkladntext3"/>
    <w:semiHidden/>
    <w:rPr>
      <w:rFonts w:ascii="Calibri" w:eastAsia="Calibri" w:hAnsi="Calibri"/>
      <w:sz w:val="16"/>
      <w:szCs w:val="16"/>
      <w:lang w:val="sk-SK" w:eastAsia="en-US" w:bidi="ar-SA"/>
    </w:rPr>
  </w:style>
  <w:style w:type="character" w:customStyle="1" w:styleId="ra">
    <w:name w:val="ra"/>
    <w:basedOn w:val="Predvolenpsmoodseku"/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rsid w:val="00FB55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B5515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rsid w:val="00831549"/>
    <w:rPr>
      <w:sz w:val="24"/>
      <w:szCs w:val="24"/>
    </w:rPr>
  </w:style>
  <w:style w:type="character" w:customStyle="1" w:styleId="Nadpis4Char">
    <w:name w:val="Nadpis 4 Char"/>
    <w:link w:val="Nadpis4"/>
    <w:semiHidden/>
    <w:rsid w:val="00382896"/>
    <w:rPr>
      <w:rFonts w:ascii="Calibri" w:hAnsi="Calibri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30330D"/>
    <w:pPr>
      <w:ind w:left="720"/>
      <w:contextualSpacing/>
    </w:pPr>
  </w:style>
  <w:style w:type="paragraph" w:customStyle="1" w:styleId="Style10">
    <w:name w:val="Style10"/>
    <w:basedOn w:val="Normlny"/>
    <w:uiPriority w:val="99"/>
    <w:rsid w:val="00B97FFA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751">
      <w:bodyDiv w:val="1"/>
      <w:marLeft w:val="113"/>
      <w:marRight w:val="113"/>
      <w:marTop w:val="11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uslo.sk" TargetMode="External"/><Relationship Id="rId1" Type="http://schemas.openxmlformats.org/officeDocument/2006/relationships/hyperlink" Target="mailto:duslo@duslo.sk" TargetMode="External"/><Relationship Id="rId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VEC</vt:lpstr>
    </vt:vector>
  </TitlesOfParts>
  <Company>yx</Company>
  <LinksUpToDate>false</LinksUpToDate>
  <CharactersWithSpaces>2783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http://www.duslo.sk/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mailto:duslo@duslo.sk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</dc:title>
  <dc:subject/>
  <dc:creator>xy</dc:creator>
  <cp:keywords/>
  <cp:lastModifiedBy>Lenčéš Marek</cp:lastModifiedBy>
  <cp:revision>4</cp:revision>
  <cp:lastPrinted>2017-01-24T13:14:00Z</cp:lastPrinted>
  <dcterms:created xsi:type="dcterms:W3CDTF">2017-02-01T14:35:00Z</dcterms:created>
  <dcterms:modified xsi:type="dcterms:W3CDTF">2019-06-21T08:15:00Z</dcterms:modified>
</cp:coreProperties>
</file>